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E9E" w:rsidRDefault="003B21AC" w:rsidP="00904E9E">
      <w:pPr>
        <w:pStyle w:val="Title"/>
      </w:pPr>
      <w:r>
        <w:t>2015 C</w:t>
      </w:r>
      <w:r w:rsidR="00904E9E">
        <w:t>SWE STANDARDS</w:t>
      </w:r>
    </w:p>
    <w:p w:rsidR="00904E9E" w:rsidRPr="00904E9E" w:rsidRDefault="00904E9E" w:rsidP="00904E9E">
      <w:pPr>
        <w:pStyle w:val="Title"/>
      </w:pPr>
    </w:p>
    <w:p w:rsidR="00904E9E" w:rsidRPr="00D932A9" w:rsidRDefault="001611D6" w:rsidP="00904E9E">
      <w:pPr>
        <w:pStyle w:val="Subtitle"/>
        <w:rPr>
          <w:sz w:val="32"/>
          <w:szCs w:val="32"/>
        </w:rPr>
      </w:pPr>
      <w:r w:rsidRPr="00D932A9">
        <w:rPr>
          <w:sz w:val="32"/>
          <w:szCs w:val="32"/>
        </w:rPr>
        <w:t xml:space="preserve">INSTRUCTOR'S GUIDE TO COMPETENCY BEHAVIORS </w:t>
      </w:r>
      <w:r w:rsidR="004035CE" w:rsidRPr="00D932A9">
        <w:rPr>
          <w:sz w:val="32"/>
          <w:szCs w:val="32"/>
        </w:rPr>
        <w:t xml:space="preserve"> </w:t>
      </w:r>
    </w:p>
    <w:p w:rsidR="003B21AC" w:rsidRPr="00D932A9" w:rsidRDefault="004035CE" w:rsidP="00904E9E">
      <w:pPr>
        <w:pStyle w:val="Subtitle"/>
        <w:rPr>
          <w:sz w:val="32"/>
          <w:szCs w:val="32"/>
        </w:rPr>
      </w:pPr>
      <w:r w:rsidRPr="00D932A9">
        <w:rPr>
          <w:sz w:val="32"/>
          <w:szCs w:val="32"/>
        </w:rPr>
        <w:t>WITHIN THE TEXT</w:t>
      </w:r>
      <w:r w:rsidR="00F806BC" w:rsidRPr="00D932A9">
        <w:rPr>
          <w:sz w:val="32"/>
          <w:szCs w:val="32"/>
        </w:rPr>
        <w:t xml:space="preserve"> AND RELATED</w:t>
      </w:r>
      <w:r w:rsidR="001611D6" w:rsidRPr="00D932A9">
        <w:rPr>
          <w:sz w:val="32"/>
          <w:szCs w:val="32"/>
        </w:rPr>
        <w:t xml:space="preserve"> CLASS EXERCISES</w:t>
      </w:r>
    </w:p>
    <w:p w:rsidR="00904E9E" w:rsidRDefault="00904E9E" w:rsidP="00904E9E"/>
    <w:p w:rsidR="008D41B3" w:rsidRDefault="00904E9E" w:rsidP="00904E9E">
      <w:pPr>
        <w:pStyle w:val="Heading2"/>
      </w:pPr>
      <w:bookmarkStart w:id="0" w:name="_Toc416189681"/>
      <w:proofErr w:type="gramStart"/>
      <w:r w:rsidRPr="00904E9E">
        <w:t>Chapter</w:t>
      </w:r>
      <w:r>
        <w:rPr>
          <w:color w:val="000000"/>
        </w:rPr>
        <w:t xml:space="preserve"> </w:t>
      </w:r>
      <w:r w:rsidR="008D41B3" w:rsidRPr="00961687">
        <w:t>10.</w:t>
      </w:r>
      <w:proofErr w:type="gramEnd"/>
      <w:r w:rsidR="008D41B3" w:rsidRPr="00961687">
        <w:t xml:space="preserve"> Sustainable Policy for Older Adults</w:t>
      </w:r>
      <w:bookmarkEnd w:id="0"/>
      <w:r w:rsidR="008D41B3" w:rsidRPr="00961687">
        <w:t xml:space="preserve"> </w:t>
      </w:r>
    </w:p>
    <w:p w:rsidR="00DF111E" w:rsidRPr="00DF111E" w:rsidRDefault="00DF111E" w:rsidP="00DF111E">
      <w:bookmarkStart w:id="1" w:name="_GoBack"/>
      <w:bookmarkEnd w:id="1"/>
    </w:p>
    <w:p w:rsidR="008D41B3" w:rsidRPr="00961687" w:rsidRDefault="008D41B3" w:rsidP="008D41B3">
      <w:pPr>
        <w:pStyle w:val="Pa28"/>
        <w:spacing w:after="120"/>
        <w:ind w:firstLine="360"/>
        <w:jc w:val="both"/>
        <w:rPr>
          <w:rFonts w:ascii="Times New Roman" w:hAnsi="Times New Roman" w:cs="Times New Roman"/>
          <w:color w:val="000000"/>
        </w:rPr>
      </w:pPr>
      <w:r w:rsidRPr="00961687">
        <w:rPr>
          <w:rFonts w:ascii="Times New Roman" w:hAnsi="Times New Roman" w:cs="Times New Roman"/>
          <w:color w:val="000000"/>
        </w:rPr>
        <w:t>Christina L. Erickson</w:t>
      </w:r>
    </w:p>
    <w:p w:rsidR="008D41B3" w:rsidRPr="00961687" w:rsidRDefault="002747E8"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Aging Worldwide: An Overview </w:t>
      </w:r>
    </w:p>
    <w:p w:rsidR="008D41B3" w:rsidRPr="00961687" w:rsidRDefault="008D41B3" w:rsidP="008D41B3">
      <w:pPr>
        <w:pStyle w:val="Pa25"/>
        <w:spacing w:before="60" w:after="60"/>
        <w:ind w:left="720" w:hanging="240"/>
        <w:rPr>
          <w:rFonts w:ascii="Times New Roman" w:hAnsi="Times New Roman" w:cs="Times New Roman"/>
          <w:color w:val="000000"/>
        </w:rPr>
      </w:pPr>
      <w:r w:rsidRPr="00961687">
        <w:rPr>
          <w:rFonts w:ascii="Times New Roman" w:hAnsi="Times New Roman" w:cs="Times New Roman"/>
          <w:b/>
          <w:bCs/>
          <w:color w:val="000000"/>
        </w:rPr>
        <w:t xml:space="preserve">Box 10.1 United Nations Principles for Older Persons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w:t>
      </w:r>
      <w:r w:rsidR="002747E8" w:rsidRPr="00961687">
        <w:rPr>
          <w:rFonts w:ascii="Times New Roman" w:hAnsi="Times New Roman" w:cs="Times New Roman"/>
          <w:color w:val="000000"/>
        </w:rPr>
        <w:t xml:space="preserve">Problematizing” Older Adults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The Development of </w:t>
      </w:r>
      <w:r w:rsidR="002747E8" w:rsidRPr="00961687">
        <w:rPr>
          <w:rFonts w:ascii="Times New Roman" w:hAnsi="Times New Roman" w:cs="Times New Roman"/>
          <w:color w:val="000000"/>
        </w:rPr>
        <w:t xml:space="preserve">Programs for Older Americans </w:t>
      </w:r>
    </w:p>
    <w:p w:rsidR="008D41B3" w:rsidRPr="00961687" w:rsidRDefault="002747E8"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OASI and OAAP </w:t>
      </w:r>
    </w:p>
    <w:p w:rsidR="008D41B3" w:rsidRPr="00961687" w:rsidRDefault="002747E8"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The Older Americans Act </w:t>
      </w:r>
    </w:p>
    <w:p w:rsidR="008D41B3" w:rsidRPr="00961687" w:rsidRDefault="008D41B3" w:rsidP="008D41B3">
      <w:pPr>
        <w:pStyle w:val="Pa25"/>
        <w:spacing w:before="60" w:after="60"/>
        <w:ind w:left="720" w:hanging="240"/>
        <w:rPr>
          <w:rFonts w:ascii="Times New Roman" w:hAnsi="Times New Roman" w:cs="Times New Roman"/>
          <w:color w:val="000000"/>
        </w:rPr>
      </w:pPr>
      <w:r w:rsidRPr="00961687">
        <w:rPr>
          <w:rFonts w:ascii="Times New Roman" w:hAnsi="Times New Roman" w:cs="Times New Roman"/>
          <w:b/>
          <w:bCs/>
          <w:color w:val="000000"/>
        </w:rPr>
        <w:t xml:space="preserve">Box 10.2 Objectives of the Older Americans Act, 1965 </w:t>
      </w:r>
    </w:p>
    <w:p w:rsidR="00251B4B" w:rsidRPr="00961687" w:rsidRDefault="008D41B3" w:rsidP="00251B4B">
      <w:pPr>
        <w:pStyle w:val="Pa24"/>
        <w:ind w:left="1200" w:hanging="240"/>
        <w:rPr>
          <w:rFonts w:ascii="Times New Roman" w:hAnsi="Times New Roman" w:cs="Times New Roman"/>
          <w:color w:val="000000"/>
        </w:rPr>
      </w:pPr>
      <w:r w:rsidRPr="00961687">
        <w:rPr>
          <w:rFonts w:ascii="Times New Roman" w:hAnsi="Times New Roman" w:cs="Times New Roman"/>
          <w:color w:val="000000"/>
        </w:rPr>
        <w:t>Inco</w:t>
      </w:r>
      <w:r w:rsidR="002747E8" w:rsidRPr="00961687">
        <w:rPr>
          <w:rFonts w:ascii="Times New Roman" w:hAnsi="Times New Roman" w:cs="Times New Roman"/>
          <w:color w:val="000000"/>
        </w:rPr>
        <w:t xml:space="preserve">me Security for Older Adults </w:t>
      </w:r>
    </w:p>
    <w:p w:rsidR="00251B4B" w:rsidRPr="00961687" w:rsidRDefault="00251B4B" w:rsidP="00251B4B">
      <w:pPr>
        <w:pStyle w:val="Pa24"/>
        <w:ind w:left="1200" w:hanging="240"/>
        <w:rPr>
          <w:rFonts w:ascii="Times New Roman" w:hAnsi="Times New Roman" w:cs="Times New Roman"/>
          <w:color w:val="000000"/>
        </w:rPr>
      </w:pPr>
      <w:r w:rsidRPr="00961687">
        <w:rPr>
          <w:rFonts w:ascii="Times New Roman" w:hAnsi="Times New Roman" w:cs="Times New Roman"/>
          <w:color w:val="000000"/>
        </w:rPr>
        <w:tab/>
      </w:r>
      <w:r w:rsidR="002747E8" w:rsidRPr="00961687">
        <w:rPr>
          <w:rFonts w:ascii="Times New Roman" w:hAnsi="Times New Roman" w:cs="Times New Roman"/>
          <w:color w:val="000000"/>
        </w:rPr>
        <w:t xml:space="preserve">Amendments to OAAP </w:t>
      </w:r>
    </w:p>
    <w:p w:rsidR="00251B4B" w:rsidRPr="00961687" w:rsidRDefault="00251B4B" w:rsidP="00251B4B">
      <w:pPr>
        <w:pStyle w:val="Pa24"/>
        <w:ind w:left="1200" w:hanging="240"/>
        <w:rPr>
          <w:rFonts w:ascii="Times New Roman" w:hAnsi="Times New Roman" w:cs="Times New Roman"/>
          <w:color w:val="000000"/>
        </w:rPr>
      </w:pPr>
      <w:r w:rsidRPr="00961687">
        <w:rPr>
          <w:rFonts w:ascii="Times New Roman" w:hAnsi="Times New Roman" w:cs="Times New Roman"/>
          <w:color w:val="000000"/>
        </w:rPr>
        <w:tab/>
      </w:r>
      <w:r w:rsidR="002747E8" w:rsidRPr="00961687">
        <w:rPr>
          <w:rFonts w:ascii="Times New Roman" w:hAnsi="Times New Roman" w:cs="Times New Roman"/>
          <w:color w:val="000000"/>
        </w:rPr>
        <w:t xml:space="preserve">Social Security in Context </w:t>
      </w:r>
    </w:p>
    <w:p w:rsidR="008D41B3" w:rsidRPr="00961687" w:rsidRDefault="00251B4B" w:rsidP="00251B4B">
      <w:pPr>
        <w:pStyle w:val="Pa24"/>
        <w:ind w:left="1200" w:hanging="240"/>
        <w:rPr>
          <w:rFonts w:ascii="Times New Roman" w:hAnsi="Times New Roman" w:cs="Times New Roman"/>
          <w:color w:val="000000"/>
        </w:rPr>
      </w:pPr>
      <w:r w:rsidRPr="00961687">
        <w:rPr>
          <w:rFonts w:ascii="Times New Roman" w:hAnsi="Times New Roman" w:cs="Times New Roman"/>
          <w:color w:val="000000"/>
        </w:rPr>
        <w:tab/>
      </w:r>
      <w:r w:rsidR="008D41B3" w:rsidRPr="00961687">
        <w:rPr>
          <w:rFonts w:ascii="Times New Roman" w:hAnsi="Times New Roman" w:cs="Times New Roman"/>
          <w:color w:val="000000"/>
        </w:rPr>
        <w:t xml:space="preserve">Prescription </w:t>
      </w:r>
      <w:r w:rsidR="002747E8" w:rsidRPr="00961687">
        <w:rPr>
          <w:rFonts w:ascii="Times New Roman" w:hAnsi="Times New Roman" w:cs="Times New Roman"/>
          <w:color w:val="000000"/>
        </w:rPr>
        <w:t xml:space="preserve">Drug Coverage </w:t>
      </w:r>
    </w:p>
    <w:p w:rsidR="008D41B3" w:rsidRPr="00961687" w:rsidRDefault="00F0222B"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ab/>
        <w:t xml:space="preserve">    </w:t>
      </w:r>
      <w:r w:rsidR="002747E8" w:rsidRPr="00961687">
        <w:rPr>
          <w:rFonts w:ascii="Times New Roman" w:hAnsi="Times New Roman" w:cs="Times New Roman"/>
          <w:color w:val="000000"/>
        </w:rPr>
        <w:t xml:space="preserve">Older Adults in Society </w:t>
      </w:r>
    </w:p>
    <w:p w:rsidR="00251B4B" w:rsidRPr="00961687" w:rsidRDefault="00251B4B" w:rsidP="00251B4B">
      <w:pPr>
        <w:autoSpaceDE w:val="0"/>
        <w:autoSpaceDN w:val="0"/>
        <w:adjustRightInd w:val="0"/>
        <w:rPr>
          <w:rFonts w:eastAsiaTheme="minorHAnsi"/>
          <w:color w:val="000000"/>
        </w:rPr>
      </w:pPr>
      <w:r w:rsidRPr="00705E00">
        <w:rPr>
          <w:rFonts w:eastAsiaTheme="minorHAnsi"/>
          <w:i/>
          <w:color w:val="000000"/>
        </w:rPr>
        <w:t>Competency 6b</w:t>
      </w:r>
      <w:r w:rsidRPr="00961687">
        <w:rPr>
          <w:rFonts w:eastAsiaTheme="minorHAnsi"/>
          <w:color w:val="000000"/>
        </w:rPr>
        <w:t xml:space="preserve">: Use empathy, reflection, and interpersonal skills to effectively engage diverse clients and constituencies. </w:t>
      </w:r>
    </w:p>
    <w:p w:rsidR="00F0222B" w:rsidRPr="00961687" w:rsidRDefault="00F0222B" w:rsidP="00F0222B">
      <w:pPr>
        <w:autoSpaceDE w:val="0"/>
        <w:autoSpaceDN w:val="0"/>
        <w:adjustRightInd w:val="0"/>
        <w:rPr>
          <w:rFonts w:eastAsiaTheme="minorHAnsi"/>
          <w:color w:val="000000"/>
        </w:rPr>
      </w:pPr>
      <w:r w:rsidRPr="00705E00">
        <w:rPr>
          <w:rFonts w:eastAsiaTheme="minorHAnsi"/>
          <w:i/>
          <w:color w:val="000000"/>
        </w:rPr>
        <w:t>Competency 8d</w:t>
      </w:r>
      <w:r w:rsidRPr="00961687">
        <w:rPr>
          <w:rFonts w:eastAsiaTheme="minorHAnsi"/>
          <w:color w:val="000000"/>
        </w:rPr>
        <w:t>: Negotiate, mediate, and advocate with and on behalf of diverse clients and constituencies.</w:t>
      </w:r>
    </w:p>
    <w:p w:rsidR="008D41B3" w:rsidRPr="00961687" w:rsidRDefault="002747E8"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Caregiving </w:t>
      </w:r>
    </w:p>
    <w:p w:rsidR="008D41B3" w:rsidRPr="00961687" w:rsidRDefault="00876788" w:rsidP="00876788">
      <w:pPr>
        <w:pStyle w:val="Default"/>
        <w:rPr>
          <w:rFonts w:ascii="Times New Roman" w:hAnsi="Times New Roman" w:cs="Times New Roman"/>
          <w:b/>
          <w:bCs/>
        </w:rPr>
      </w:pPr>
      <w:r w:rsidRPr="00961687">
        <w:rPr>
          <w:rFonts w:ascii="Times New Roman" w:hAnsi="Times New Roman" w:cs="Times New Roman"/>
        </w:rPr>
        <w:t xml:space="preserve">        </w:t>
      </w:r>
      <w:r w:rsidR="008D41B3" w:rsidRPr="00961687">
        <w:rPr>
          <w:rFonts w:ascii="Times New Roman" w:hAnsi="Times New Roman" w:cs="Times New Roman"/>
          <w:b/>
          <w:bCs/>
        </w:rPr>
        <w:t xml:space="preserve">Box 10. 3 Challenges Related to an Older Norwegian Population </w:t>
      </w:r>
    </w:p>
    <w:p w:rsidR="00D73525" w:rsidRPr="00961687" w:rsidRDefault="00D73525" w:rsidP="00D73525">
      <w:pPr>
        <w:pStyle w:val="Default"/>
        <w:rPr>
          <w:rFonts w:ascii="Times New Roman" w:hAnsi="Times New Roman" w:cs="Times New Roman"/>
        </w:rPr>
      </w:pPr>
      <w:r w:rsidRPr="00961687">
        <w:rPr>
          <w:rFonts w:ascii="Times New Roman" w:hAnsi="Times New Roman" w:cs="Times New Roman"/>
        </w:rPr>
        <w:t xml:space="preserve">        </w:t>
      </w:r>
      <w:r w:rsidR="008D41B3" w:rsidRPr="00961687">
        <w:rPr>
          <w:rFonts w:ascii="Times New Roman" w:hAnsi="Times New Roman" w:cs="Times New Roman"/>
        </w:rPr>
        <w:t xml:space="preserve">Developing Sustainable Caregiving Policies </w:t>
      </w:r>
    </w:p>
    <w:p w:rsidR="00F0222B" w:rsidRPr="00961687" w:rsidRDefault="00F0222B" w:rsidP="00F0222B">
      <w:pPr>
        <w:autoSpaceDE w:val="0"/>
        <w:autoSpaceDN w:val="0"/>
        <w:adjustRightInd w:val="0"/>
        <w:rPr>
          <w:rFonts w:eastAsiaTheme="minorHAnsi"/>
          <w:color w:val="000000"/>
        </w:rPr>
      </w:pPr>
      <w:r w:rsidRPr="00705E00">
        <w:rPr>
          <w:rFonts w:eastAsiaTheme="minorHAnsi"/>
          <w:i/>
          <w:color w:val="000000"/>
        </w:rPr>
        <w:t>Competency 8d</w:t>
      </w:r>
      <w:r w:rsidRPr="00961687">
        <w:rPr>
          <w:rFonts w:eastAsiaTheme="minorHAnsi"/>
          <w:color w:val="000000"/>
        </w:rPr>
        <w:t>: Negotiate, mediate, and advocate with and on behalf of diverse clients and constituencies.</w:t>
      </w:r>
    </w:p>
    <w:p w:rsidR="00D73525" w:rsidRPr="00961687" w:rsidRDefault="00D73525" w:rsidP="00D73525">
      <w:pPr>
        <w:pStyle w:val="Default"/>
        <w:rPr>
          <w:rFonts w:ascii="Times New Roman" w:hAnsi="Times New Roman" w:cs="Times New Roman"/>
        </w:rPr>
      </w:pPr>
      <w:r w:rsidRPr="00961687">
        <w:rPr>
          <w:rFonts w:ascii="Times New Roman" w:hAnsi="Times New Roman" w:cs="Times New Roman"/>
        </w:rPr>
        <w:t xml:space="preserve">        </w:t>
      </w:r>
      <w:r w:rsidR="008D41B3" w:rsidRPr="00961687">
        <w:rPr>
          <w:rFonts w:ascii="Times New Roman" w:hAnsi="Times New Roman" w:cs="Times New Roman"/>
        </w:rPr>
        <w:t xml:space="preserve">Housing and Long-Term Care </w:t>
      </w:r>
    </w:p>
    <w:p w:rsidR="008D41B3" w:rsidRPr="00961687" w:rsidRDefault="008D41B3" w:rsidP="00D73525">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Home-Based Versus Chronic Care Facilities </w:t>
      </w:r>
    </w:p>
    <w:p w:rsidR="007221B5" w:rsidRPr="00961687" w:rsidRDefault="007221B5" w:rsidP="007221B5">
      <w:pPr>
        <w:autoSpaceDE w:val="0"/>
        <w:autoSpaceDN w:val="0"/>
        <w:adjustRightInd w:val="0"/>
        <w:rPr>
          <w:rFonts w:eastAsiaTheme="minorHAnsi"/>
          <w:color w:val="000000"/>
        </w:rPr>
      </w:pPr>
      <w:r w:rsidRPr="00705E00">
        <w:rPr>
          <w:rFonts w:eastAsiaTheme="minorHAnsi"/>
          <w:i/>
          <w:color w:val="000000"/>
        </w:rPr>
        <w:t>Competency 4c</w:t>
      </w:r>
      <w:r w:rsidRPr="00961687">
        <w:rPr>
          <w:rFonts w:eastAsiaTheme="minorHAnsi"/>
          <w:color w:val="000000"/>
        </w:rPr>
        <w:t xml:space="preserve">: Use and translate research evidence to inform and improve practice, policy, and service delivery. </w:t>
      </w:r>
    </w:p>
    <w:p w:rsidR="00CB21C8" w:rsidRPr="00961687" w:rsidRDefault="008D41B3" w:rsidP="00CB21C8">
      <w:pPr>
        <w:pStyle w:val="Pa25"/>
        <w:spacing w:before="60" w:after="60"/>
        <w:ind w:left="720" w:hanging="240"/>
        <w:rPr>
          <w:rFonts w:ascii="Times New Roman" w:hAnsi="Times New Roman" w:cs="Times New Roman"/>
          <w:b/>
          <w:bCs/>
          <w:color w:val="000000"/>
        </w:rPr>
      </w:pPr>
      <w:r w:rsidRPr="00961687">
        <w:rPr>
          <w:rFonts w:ascii="Times New Roman" w:hAnsi="Times New Roman" w:cs="Times New Roman"/>
          <w:b/>
          <w:bCs/>
          <w:color w:val="000000"/>
        </w:rPr>
        <w:t xml:space="preserve">Box 10.4 Social Changes in China and Long-Term Care Policy </w:t>
      </w:r>
    </w:p>
    <w:p w:rsidR="00CB21C8" w:rsidRPr="00961687" w:rsidRDefault="008D41B3" w:rsidP="00CB21C8">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 xml:space="preserve">Elder Abuse </w:t>
      </w:r>
    </w:p>
    <w:p w:rsidR="008D41B3" w:rsidRPr="00961687" w:rsidRDefault="008D41B3" w:rsidP="00CB21C8">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 xml:space="preserve">Bereavement and End of Life Care </w:t>
      </w:r>
    </w:p>
    <w:p w:rsidR="00CB21C8" w:rsidRPr="00961687" w:rsidRDefault="00CB21C8" w:rsidP="00CB21C8">
      <w:pPr>
        <w:autoSpaceDE w:val="0"/>
        <w:autoSpaceDN w:val="0"/>
        <w:adjustRightInd w:val="0"/>
        <w:rPr>
          <w:rFonts w:eastAsiaTheme="minorHAnsi"/>
          <w:color w:val="000000"/>
        </w:rPr>
      </w:pPr>
      <w:r w:rsidRPr="00705E00">
        <w:rPr>
          <w:rFonts w:eastAsiaTheme="minorHAnsi"/>
          <w:i/>
          <w:color w:val="000000"/>
        </w:rPr>
        <w:t>Competency 8e</w:t>
      </w:r>
      <w:r w:rsidRPr="00961687">
        <w:rPr>
          <w:rFonts w:eastAsiaTheme="minorHAnsi"/>
          <w:color w:val="000000"/>
        </w:rPr>
        <w:t xml:space="preserve">: Facilitate effective transitions and endings that advance mutually agreed-on goals. </w:t>
      </w:r>
    </w:p>
    <w:p w:rsidR="008D41B3" w:rsidRPr="00961687" w:rsidRDefault="008D41B3" w:rsidP="008D41B3">
      <w:pPr>
        <w:pStyle w:val="Pa25"/>
        <w:spacing w:before="60" w:after="60"/>
        <w:ind w:left="720" w:hanging="240"/>
        <w:rPr>
          <w:rFonts w:ascii="Times New Roman" w:hAnsi="Times New Roman" w:cs="Times New Roman"/>
          <w:b/>
          <w:bCs/>
          <w:color w:val="000000"/>
        </w:rPr>
      </w:pPr>
      <w:r w:rsidRPr="00961687">
        <w:rPr>
          <w:rFonts w:ascii="Times New Roman" w:hAnsi="Times New Roman" w:cs="Times New Roman"/>
          <w:b/>
          <w:bCs/>
          <w:color w:val="000000"/>
        </w:rPr>
        <w:lastRenderedPageBreak/>
        <w:t xml:space="preserve">Box 10.5 Hospice Care in the United States </w:t>
      </w:r>
    </w:p>
    <w:p w:rsidR="00251B4B" w:rsidRPr="00961687" w:rsidRDefault="00251B4B" w:rsidP="00251B4B">
      <w:pPr>
        <w:autoSpaceDE w:val="0"/>
        <w:autoSpaceDN w:val="0"/>
        <w:adjustRightInd w:val="0"/>
        <w:rPr>
          <w:rFonts w:eastAsiaTheme="minorHAnsi"/>
          <w:color w:val="000000"/>
        </w:rPr>
      </w:pPr>
      <w:r w:rsidRPr="00705E00">
        <w:rPr>
          <w:rFonts w:eastAsiaTheme="minorHAnsi"/>
          <w:i/>
          <w:color w:val="000000"/>
        </w:rPr>
        <w:t>Competency 6b</w:t>
      </w:r>
      <w:r w:rsidRPr="00961687">
        <w:rPr>
          <w:rFonts w:eastAsiaTheme="minorHAnsi"/>
          <w:color w:val="000000"/>
        </w:rPr>
        <w:t xml:space="preserve">: Use empathy, reflection, and interpersonal skills to effectively engage diverse clients and constituencies.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Sustainable Policy for Older Adults: An Intergenerational Approach </w:t>
      </w:r>
    </w:p>
    <w:p w:rsidR="007221B5" w:rsidRPr="00961687" w:rsidRDefault="007221B5" w:rsidP="007221B5">
      <w:pPr>
        <w:autoSpaceDE w:val="0"/>
        <w:autoSpaceDN w:val="0"/>
        <w:adjustRightInd w:val="0"/>
        <w:rPr>
          <w:rFonts w:eastAsiaTheme="minorHAnsi"/>
          <w:color w:val="000000"/>
        </w:rPr>
      </w:pPr>
      <w:r w:rsidRPr="00705E00">
        <w:rPr>
          <w:rFonts w:eastAsiaTheme="minorHAnsi"/>
          <w:i/>
          <w:color w:val="000000"/>
        </w:rPr>
        <w:t>Competency 5a</w:t>
      </w:r>
      <w:r w:rsidRPr="00961687">
        <w:rPr>
          <w:rFonts w:eastAsiaTheme="minorHAnsi"/>
          <w:color w:val="000000"/>
        </w:rPr>
        <w:t xml:space="preserve">: Identify social policy at the local, state, and federal level that impacts well-being, service delivery, and access to social services. </w:t>
      </w:r>
    </w:p>
    <w:p w:rsidR="00F0222B" w:rsidRPr="00961687" w:rsidRDefault="00F0222B" w:rsidP="00F0222B">
      <w:pPr>
        <w:pStyle w:val="Default"/>
        <w:rPr>
          <w:rFonts w:ascii="Times New Roman" w:hAnsi="Times New Roman" w:cs="Times New Roman"/>
        </w:rPr>
      </w:pPr>
      <w:r w:rsidRPr="00705E00">
        <w:rPr>
          <w:rFonts w:ascii="Times New Roman" w:hAnsi="Times New Roman" w:cs="Times New Roman"/>
          <w:i/>
        </w:rPr>
        <w:t>Competency 8c</w:t>
      </w:r>
      <w:r w:rsidRPr="00961687">
        <w:rPr>
          <w:rFonts w:ascii="Times New Roman" w:hAnsi="Times New Roman" w:cs="Times New Roman"/>
        </w:rPr>
        <w:t>: Use inter-professional collaboration as appropriate to achieve beneficial practice outcomes.</w:t>
      </w:r>
    </w:p>
    <w:p w:rsidR="00F0222B" w:rsidRPr="00961687" w:rsidRDefault="00F0222B" w:rsidP="00F0222B">
      <w:pPr>
        <w:autoSpaceDE w:val="0"/>
        <w:autoSpaceDN w:val="0"/>
        <w:adjustRightInd w:val="0"/>
        <w:rPr>
          <w:rFonts w:eastAsiaTheme="minorHAnsi"/>
          <w:color w:val="000000"/>
        </w:rPr>
      </w:pPr>
      <w:r w:rsidRPr="00961687">
        <w:rPr>
          <w:rFonts w:eastAsiaTheme="minorHAnsi"/>
          <w:color w:val="000000"/>
        </w:rPr>
        <w:t xml:space="preserve"> </w:t>
      </w:r>
      <w:r w:rsidRPr="00705E00">
        <w:rPr>
          <w:rFonts w:eastAsiaTheme="minorHAnsi"/>
          <w:i/>
          <w:color w:val="000000"/>
        </w:rPr>
        <w:t>Competency 8d</w:t>
      </w:r>
      <w:r w:rsidRPr="00961687">
        <w:rPr>
          <w:rFonts w:eastAsiaTheme="minorHAnsi"/>
          <w:color w:val="000000"/>
        </w:rPr>
        <w:t>: Negotiate, mediate, and advocate with and on behalf of diverse clients and constituencies.</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The Natural Environment and Older Adults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Ageism and Its</w:t>
      </w:r>
      <w:r w:rsidR="00991F60" w:rsidRPr="00961687">
        <w:rPr>
          <w:rFonts w:ascii="Times New Roman" w:hAnsi="Times New Roman" w:cs="Times New Roman"/>
          <w:color w:val="000000"/>
        </w:rPr>
        <w:t xml:space="preserve"> Implications </w:t>
      </w:r>
    </w:p>
    <w:p w:rsidR="00393A50" w:rsidRPr="00961687" w:rsidRDefault="00393A50" w:rsidP="00393A50">
      <w:pPr>
        <w:autoSpaceDE w:val="0"/>
        <w:autoSpaceDN w:val="0"/>
        <w:adjustRightInd w:val="0"/>
        <w:rPr>
          <w:rFonts w:eastAsiaTheme="minorHAnsi"/>
          <w:color w:val="000000"/>
        </w:rPr>
      </w:pPr>
      <w:r w:rsidRPr="00705E00">
        <w:rPr>
          <w:rFonts w:eastAsiaTheme="minorHAnsi"/>
          <w:i/>
          <w:color w:val="000000"/>
        </w:rPr>
        <w:t>Competency 2a</w:t>
      </w:r>
      <w:r w:rsidRPr="00961687">
        <w:rPr>
          <w:rFonts w:eastAsiaTheme="minorHAnsi"/>
          <w:color w:val="000000"/>
        </w:rPr>
        <w:t>: Apply and communicate understanding of the importance of diversity and difference in shaping life experiences in practice at the micro, mezzo, and macro levels.</w:t>
      </w:r>
    </w:p>
    <w:p w:rsidR="008D41B3" w:rsidRPr="00961687" w:rsidRDefault="008D41B3" w:rsidP="008D41B3">
      <w:pPr>
        <w:pStyle w:val="Pa25"/>
        <w:spacing w:before="60" w:after="60"/>
        <w:ind w:left="720" w:hanging="240"/>
        <w:rPr>
          <w:rFonts w:ascii="Times New Roman" w:hAnsi="Times New Roman" w:cs="Times New Roman"/>
          <w:b/>
          <w:bCs/>
          <w:color w:val="000000"/>
        </w:rPr>
      </w:pPr>
      <w:r w:rsidRPr="00961687">
        <w:rPr>
          <w:rFonts w:ascii="Times New Roman" w:hAnsi="Times New Roman" w:cs="Times New Roman"/>
          <w:b/>
          <w:bCs/>
          <w:color w:val="000000"/>
        </w:rPr>
        <w:t xml:space="preserve">Box 10.6 Aging With Gusto: An Anti-Ageism Initiative of the Vital Aging Network and Saint Paul-Ramsey County Public Health, Minnesota, USA </w:t>
      </w:r>
    </w:p>
    <w:p w:rsidR="00393A50" w:rsidRPr="00705E00" w:rsidRDefault="00393A50" w:rsidP="00393A50">
      <w:pPr>
        <w:autoSpaceDE w:val="0"/>
        <w:autoSpaceDN w:val="0"/>
        <w:adjustRightInd w:val="0"/>
        <w:rPr>
          <w:rFonts w:eastAsiaTheme="minorHAnsi"/>
          <w:color w:val="000000"/>
        </w:rPr>
      </w:pPr>
      <w:r w:rsidRPr="00705E00">
        <w:rPr>
          <w:rFonts w:eastAsiaTheme="minorHAnsi"/>
          <w:i/>
          <w:color w:val="000000"/>
        </w:rPr>
        <w:t>Competency 2b</w:t>
      </w:r>
      <w:r w:rsidRPr="00705E00">
        <w:rPr>
          <w:rFonts w:eastAsiaTheme="minorHAnsi"/>
          <w:color w:val="000000"/>
        </w:rPr>
        <w:t>: Present themselves as learners and engage clients and constituencies as experts of their own experiences.</w:t>
      </w:r>
    </w:p>
    <w:p w:rsidR="007221B5" w:rsidRPr="00961687" w:rsidRDefault="007221B5" w:rsidP="007221B5">
      <w:pPr>
        <w:autoSpaceDE w:val="0"/>
        <w:autoSpaceDN w:val="0"/>
        <w:adjustRightInd w:val="0"/>
        <w:rPr>
          <w:rFonts w:eastAsiaTheme="minorHAnsi"/>
          <w:color w:val="000000"/>
        </w:rPr>
      </w:pPr>
      <w:r w:rsidRPr="00705E00">
        <w:rPr>
          <w:rFonts w:eastAsiaTheme="minorHAnsi"/>
          <w:i/>
          <w:color w:val="000000"/>
        </w:rPr>
        <w:t>Competency 4c</w:t>
      </w:r>
      <w:r w:rsidRPr="00961687">
        <w:rPr>
          <w:rFonts w:eastAsiaTheme="minorHAnsi"/>
          <w:color w:val="000000"/>
        </w:rPr>
        <w:t xml:space="preserve">: Use and translate research evidence to inform and improve practice, policy, and service delivery. </w:t>
      </w:r>
    </w:p>
    <w:p w:rsidR="00251B4B" w:rsidRPr="00961687" w:rsidRDefault="00251B4B" w:rsidP="00251B4B">
      <w:pPr>
        <w:autoSpaceDE w:val="0"/>
        <w:autoSpaceDN w:val="0"/>
        <w:adjustRightInd w:val="0"/>
        <w:rPr>
          <w:rFonts w:eastAsiaTheme="minorHAnsi"/>
          <w:color w:val="000000"/>
        </w:rPr>
      </w:pPr>
      <w:r w:rsidRPr="00705E00">
        <w:rPr>
          <w:rFonts w:eastAsiaTheme="minorHAnsi"/>
          <w:i/>
          <w:color w:val="000000"/>
        </w:rPr>
        <w:t>Competency 6b</w:t>
      </w:r>
      <w:r w:rsidRPr="00961687">
        <w:rPr>
          <w:rFonts w:eastAsiaTheme="minorHAnsi"/>
          <w:color w:val="000000"/>
        </w:rPr>
        <w:t xml:space="preserve">: Use empathy, reflection, and interpersonal skills to effectively engage diverse clients and constituencies. </w:t>
      </w:r>
    </w:p>
    <w:p w:rsidR="00FA3C52" w:rsidRPr="00961687" w:rsidRDefault="005A2F8F" w:rsidP="00FA3C52">
      <w:pPr>
        <w:autoSpaceDE w:val="0"/>
        <w:autoSpaceDN w:val="0"/>
        <w:adjustRightInd w:val="0"/>
        <w:rPr>
          <w:rFonts w:eastAsiaTheme="minorHAnsi"/>
          <w:color w:val="000000"/>
        </w:rPr>
      </w:pPr>
      <w:r w:rsidRPr="00705E00">
        <w:rPr>
          <w:rFonts w:eastAsiaTheme="minorHAnsi"/>
          <w:i/>
          <w:color w:val="000000"/>
        </w:rPr>
        <w:t>Competency 7b</w:t>
      </w:r>
      <w:r w:rsidRPr="00961687">
        <w:rPr>
          <w:rFonts w:eastAsiaTheme="minorHAnsi"/>
          <w:color w:val="000000"/>
        </w:rPr>
        <w:t xml:space="preserve">: Apply knowledge of human behavior and the social environment, person-in-environment, and other multidisciplinary theoretical frameworks in the analysis of assessment data from clients and constituencies. </w:t>
      </w:r>
    </w:p>
    <w:p w:rsidR="005A2F8F" w:rsidRPr="00961687" w:rsidRDefault="00FA3C52" w:rsidP="00FA3C52">
      <w:pPr>
        <w:autoSpaceDE w:val="0"/>
        <w:autoSpaceDN w:val="0"/>
        <w:adjustRightInd w:val="0"/>
        <w:rPr>
          <w:rFonts w:eastAsiaTheme="minorHAnsi"/>
          <w:color w:val="000000"/>
        </w:rPr>
      </w:pPr>
      <w:r w:rsidRPr="00961687">
        <w:rPr>
          <w:rFonts w:eastAsiaTheme="minorHAnsi"/>
          <w:color w:val="000000"/>
        </w:rPr>
        <w:tab/>
      </w:r>
      <w:r w:rsidR="00991F60" w:rsidRPr="00961687">
        <w:rPr>
          <w:b/>
          <w:color w:val="000000"/>
        </w:rPr>
        <w:t xml:space="preserve">Thinking Sustainably </w:t>
      </w:r>
    </w:p>
    <w:p w:rsidR="008D41B3" w:rsidRPr="00961687" w:rsidRDefault="005A2F8F" w:rsidP="005A2F8F">
      <w:pPr>
        <w:pStyle w:val="Pa24"/>
        <w:ind w:hanging="240"/>
        <w:rPr>
          <w:rFonts w:ascii="Times New Roman" w:hAnsi="Times New Roman" w:cs="Times New Roman"/>
          <w:color w:val="000000"/>
        </w:rPr>
      </w:pPr>
      <w:r w:rsidRPr="00961687">
        <w:rPr>
          <w:rFonts w:ascii="Times New Roman" w:hAnsi="Times New Roman" w:cs="Times New Roman"/>
          <w:b/>
          <w:color w:val="000000"/>
        </w:rPr>
        <w:tab/>
        <w:t xml:space="preserve">         </w:t>
      </w:r>
      <w:r w:rsidR="008D41B3" w:rsidRPr="00961687">
        <w:rPr>
          <w:rFonts w:ascii="Times New Roman" w:hAnsi="Times New Roman" w:cs="Times New Roman"/>
          <w:color w:val="000000"/>
        </w:rPr>
        <w:t>Interge</w:t>
      </w:r>
      <w:r w:rsidR="00991F60" w:rsidRPr="00961687">
        <w:rPr>
          <w:rFonts w:ascii="Times New Roman" w:hAnsi="Times New Roman" w:cs="Times New Roman"/>
          <w:color w:val="000000"/>
        </w:rPr>
        <w:t xml:space="preserve">nerational Policy Assessment </w:t>
      </w:r>
    </w:p>
    <w:p w:rsidR="005A2F8F" w:rsidRPr="00961687" w:rsidRDefault="005A2F8F" w:rsidP="005A2F8F">
      <w:pPr>
        <w:autoSpaceDE w:val="0"/>
        <w:autoSpaceDN w:val="0"/>
        <w:adjustRightInd w:val="0"/>
        <w:rPr>
          <w:rFonts w:eastAsiaTheme="minorHAnsi"/>
          <w:color w:val="000000"/>
        </w:rPr>
      </w:pPr>
      <w:r w:rsidRPr="001B1DD5">
        <w:rPr>
          <w:rFonts w:eastAsiaTheme="minorHAnsi"/>
          <w:i/>
          <w:color w:val="000000"/>
        </w:rPr>
        <w:t>Competency 7b</w:t>
      </w:r>
      <w:r w:rsidRPr="00961687">
        <w:rPr>
          <w:rFonts w:eastAsiaTheme="minorHAnsi"/>
          <w:color w:val="000000"/>
        </w:rPr>
        <w:t xml:space="preserve">: Apply knowledge of human behavior and the social environment, person-in-environment, and other multidisciplinary theoretical frameworks in the analysis of assessment data from clients and constituencies. </w:t>
      </w:r>
    </w:p>
    <w:p w:rsidR="00634359" w:rsidRPr="00961687" w:rsidRDefault="00634359" w:rsidP="00634359">
      <w:pPr>
        <w:autoSpaceDE w:val="0"/>
        <w:autoSpaceDN w:val="0"/>
        <w:adjustRightInd w:val="0"/>
        <w:rPr>
          <w:rFonts w:eastAsiaTheme="minorHAnsi"/>
          <w:color w:val="000000"/>
        </w:rPr>
      </w:pPr>
      <w:r w:rsidRPr="001B1DD5">
        <w:rPr>
          <w:rFonts w:eastAsiaTheme="minorHAnsi"/>
          <w:i/>
          <w:color w:val="000000"/>
        </w:rPr>
        <w:t>Competency 7c</w:t>
      </w:r>
      <w:r w:rsidRPr="00961687">
        <w:rPr>
          <w:rFonts w:eastAsiaTheme="minorHAnsi"/>
          <w:color w:val="000000"/>
        </w:rPr>
        <w:t>: Develop mutually agreed-on intervention goals and objectives based on the critical assessment of strengths, needs, and challenges within clients and constituencies.</w:t>
      </w:r>
    </w:p>
    <w:p w:rsidR="008D41B3" w:rsidRPr="00961687" w:rsidRDefault="008D41B3" w:rsidP="008D41B3">
      <w:pPr>
        <w:pStyle w:val="Pa25"/>
        <w:spacing w:before="60" w:after="60"/>
        <w:ind w:left="720" w:hanging="240"/>
        <w:rPr>
          <w:rFonts w:ascii="Times New Roman" w:hAnsi="Times New Roman" w:cs="Times New Roman"/>
          <w:b/>
          <w:bCs/>
          <w:color w:val="000000"/>
        </w:rPr>
      </w:pPr>
      <w:r w:rsidRPr="00961687">
        <w:rPr>
          <w:rFonts w:ascii="Times New Roman" w:hAnsi="Times New Roman" w:cs="Times New Roman"/>
          <w:b/>
          <w:bCs/>
          <w:color w:val="000000"/>
        </w:rPr>
        <w:t xml:space="preserve">Box 10.7 Intergenerational Legislation Impact Assessment </w:t>
      </w:r>
    </w:p>
    <w:p w:rsidR="005A2F8F" w:rsidRPr="00961687" w:rsidRDefault="005A2F8F" w:rsidP="005A2F8F">
      <w:pPr>
        <w:autoSpaceDE w:val="0"/>
        <w:autoSpaceDN w:val="0"/>
        <w:adjustRightInd w:val="0"/>
        <w:rPr>
          <w:rFonts w:eastAsiaTheme="minorHAnsi"/>
          <w:color w:val="000000"/>
        </w:rPr>
      </w:pPr>
      <w:r w:rsidRPr="001B1DD5">
        <w:rPr>
          <w:rFonts w:eastAsiaTheme="minorHAnsi"/>
          <w:i/>
          <w:color w:val="000000"/>
        </w:rPr>
        <w:t>Competency 7b</w:t>
      </w:r>
      <w:r w:rsidRPr="00961687">
        <w:rPr>
          <w:rFonts w:eastAsiaTheme="minorHAnsi"/>
          <w:color w:val="000000"/>
        </w:rPr>
        <w:t xml:space="preserve">: Apply knowledge of human behavior and the social environment, person-in-environment, and other multidisciplinary theoretical frameworks in the analysis of assessment data from clients and constituencies. </w:t>
      </w:r>
    </w:p>
    <w:p w:rsidR="008D41B3" w:rsidRPr="00961687" w:rsidRDefault="008D41B3" w:rsidP="008D41B3">
      <w:pPr>
        <w:pStyle w:val="Pa25"/>
        <w:spacing w:before="60" w:after="60"/>
        <w:ind w:left="720" w:hanging="240"/>
        <w:rPr>
          <w:rFonts w:ascii="Times New Roman" w:hAnsi="Times New Roman" w:cs="Times New Roman"/>
          <w:color w:val="000000"/>
        </w:rPr>
      </w:pPr>
      <w:r w:rsidRPr="00961687">
        <w:rPr>
          <w:rFonts w:ascii="Times New Roman" w:hAnsi="Times New Roman" w:cs="Times New Roman"/>
          <w:b/>
          <w:bCs/>
          <w:color w:val="000000"/>
        </w:rPr>
        <w:t xml:space="preserve">Box 10.8 International Policy on Aging and Older Persons </w:t>
      </w:r>
    </w:p>
    <w:p w:rsidR="008D41B3" w:rsidRPr="00961687" w:rsidRDefault="00991F60"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Summary and Conclusion </w:t>
      </w:r>
    </w:p>
    <w:p w:rsidR="008D41B3" w:rsidRPr="00961687" w:rsidRDefault="00935E2B"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Critical Thinking Questions </w:t>
      </w:r>
    </w:p>
    <w:p w:rsidR="00991F60" w:rsidRPr="00961687" w:rsidRDefault="00991F60" w:rsidP="00991F60">
      <w:pPr>
        <w:autoSpaceDE w:val="0"/>
        <w:autoSpaceDN w:val="0"/>
        <w:adjustRightInd w:val="0"/>
        <w:rPr>
          <w:rFonts w:eastAsiaTheme="minorHAnsi"/>
          <w:color w:val="000000"/>
        </w:rPr>
      </w:pPr>
      <w:r w:rsidRPr="001B1DD5">
        <w:rPr>
          <w:rFonts w:eastAsiaTheme="minorHAnsi"/>
          <w:i/>
          <w:color w:val="000000"/>
        </w:rPr>
        <w:t>Compe</w:t>
      </w:r>
      <w:r w:rsidR="00393A50" w:rsidRPr="001B1DD5">
        <w:rPr>
          <w:rFonts w:eastAsiaTheme="minorHAnsi"/>
          <w:i/>
          <w:color w:val="000000"/>
        </w:rPr>
        <w:t>tency 1</w:t>
      </w:r>
      <w:r w:rsidRPr="001B1DD5">
        <w:rPr>
          <w:rFonts w:eastAsiaTheme="minorHAnsi"/>
          <w:i/>
          <w:color w:val="000000"/>
        </w:rPr>
        <w:t>b</w:t>
      </w:r>
      <w:r w:rsidRPr="00961687">
        <w:rPr>
          <w:rFonts w:eastAsiaTheme="minorHAnsi"/>
          <w:color w:val="000000"/>
        </w:rPr>
        <w:t>: Use reflection and self-regulation to manage personal values and maintain profess</w:t>
      </w:r>
      <w:r w:rsidR="00393A50" w:rsidRPr="00961687">
        <w:rPr>
          <w:rFonts w:eastAsiaTheme="minorHAnsi"/>
          <w:color w:val="000000"/>
        </w:rPr>
        <w:t>ionalism in practice situations.</w:t>
      </w:r>
      <w:r w:rsidRPr="00961687">
        <w:rPr>
          <w:rFonts w:eastAsiaTheme="minorHAnsi"/>
          <w:color w:val="000000"/>
        </w:rPr>
        <w:t xml:space="preserve"> </w:t>
      </w:r>
    </w:p>
    <w:p w:rsidR="00B16182" w:rsidRPr="00961687" w:rsidRDefault="00B16182" w:rsidP="00B16182"/>
    <w:p w:rsidR="00B16182" w:rsidRDefault="00B16182" w:rsidP="00B16182">
      <w:pPr>
        <w:rPr>
          <w:b/>
        </w:rPr>
      </w:pPr>
      <w:r w:rsidRPr="00961687">
        <w:rPr>
          <w:b/>
        </w:rPr>
        <w:t>Individual Exercises</w:t>
      </w:r>
    </w:p>
    <w:p w:rsidR="00590094" w:rsidRPr="00590094" w:rsidRDefault="00590094" w:rsidP="00B16182">
      <w:pPr>
        <w:rPr>
          <w:b/>
          <w:i/>
        </w:rPr>
      </w:pPr>
      <w:r w:rsidRPr="00590094">
        <w:rPr>
          <w:i/>
        </w:rPr>
        <w:t>Competency 1: Demonstrate Ethical and Professional Behavior</w:t>
      </w:r>
    </w:p>
    <w:p w:rsidR="00B16182" w:rsidRPr="00961687" w:rsidRDefault="00B16182" w:rsidP="00B16182">
      <w:r w:rsidRPr="00961687">
        <w:lastRenderedPageBreak/>
        <w:t>Family discrimination involves the discrimination against individuals, frequently females, who have caregiving responsibilities for de</w:t>
      </w:r>
      <w:r w:rsidR="00590094">
        <w:t>pendent family members,</w:t>
      </w:r>
      <w:r w:rsidRPr="00961687">
        <w:t xml:space="preserve"> spouses/partners</w:t>
      </w:r>
      <w:r w:rsidR="00590094">
        <w:t xml:space="preserve"> with disabilities, or frail older</w:t>
      </w:r>
      <w:r w:rsidRPr="00961687">
        <w:t xml:space="preserve"> parents. </w:t>
      </w:r>
      <w:r w:rsidR="00590094">
        <w:t xml:space="preserve">What are some ethical raised related to one's responsibilities to care for one's parents when, in their old age, they have dementia? </w:t>
      </w:r>
      <w:r w:rsidRPr="00961687">
        <w:t xml:space="preserve">Spend ten to fifteen minutes </w:t>
      </w:r>
      <w:r w:rsidR="00590094">
        <w:t xml:space="preserve">discussing the overall situation and checking resources to help family caregivers meet their responsibilities to their loved one. </w:t>
      </w:r>
      <w:r w:rsidRPr="00961687">
        <w:t>Were you able to locate a federal or state policy which adequately addressed this</w:t>
      </w:r>
      <w:r w:rsidR="00590094">
        <w:t xml:space="preserve"> evolving issue? What ethical issues are raised in this situation?</w:t>
      </w:r>
      <w:r w:rsidRPr="00961687">
        <w:t xml:space="preserve">  </w:t>
      </w:r>
    </w:p>
    <w:p w:rsidR="00B16182" w:rsidRPr="00961687" w:rsidRDefault="00B16182" w:rsidP="00B16182"/>
    <w:p w:rsidR="00245942" w:rsidRPr="00245942" w:rsidRDefault="00245942" w:rsidP="00245942">
      <w:pPr>
        <w:pStyle w:val="Default"/>
        <w:rPr>
          <w:rFonts w:ascii="Times New Roman" w:hAnsi="Times New Roman" w:cs="Times New Roman"/>
          <w:i/>
        </w:rPr>
      </w:pPr>
      <w:r w:rsidRPr="00245942">
        <w:rPr>
          <w:rFonts w:ascii="Times New Roman" w:hAnsi="Times New Roman" w:cs="Times New Roman"/>
          <w:i/>
        </w:rPr>
        <w:t>Competency 4: Engage in Practice-Informed Research and Research-Informed Practice</w:t>
      </w:r>
    </w:p>
    <w:p w:rsidR="00B16182" w:rsidRPr="00961687" w:rsidRDefault="008D6A8F" w:rsidP="00B16182">
      <w:r>
        <w:t>1</w:t>
      </w:r>
      <w:r w:rsidR="00B16182" w:rsidRPr="00961687">
        <w:t xml:space="preserve">. Research the various forms of elder abuse, including financial abuse. Search the Internet for situations involving prosecutions for this form of exploitation. Consider reasons that complaints are relatively few for this type of crime. </w:t>
      </w:r>
    </w:p>
    <w:p w:rsidR="00B16182" w:rsidRPr="00961687" w:rsidRDefault="00B16182" w:rsidP="00B16182"/>
    <w:p w:rsidR="00B16182" w:rsidRPr="00961687" w:rsidRDefault="008D6A8F" w:rsidP="00B16182">
      <w:r>
        <w:t>2</w:t>
      </w:r>
      <w:r w:rsidR="00B16182" w:rsidRPr="00961687">
        <w:t xml:space="preserve">. Check out intergenerational cohousing in Scandinavia and the United States. What are the advantages of this form of community living?  </w:t>
      </w:r>
    </w:p>
    <w:p w:rsidR="00CE6B6D" w:rsidRDefault="00CE6B6D" w:rsidP="00B16182"/>
    <w:p w:rsidR="00D932A9" w:rsidRDefault="00D932A9" w:rsidP="00B16182"/>
    <w:p w:rsidR="00D932A9" w:rsidRDefault="00D932A9" w:rsidP="00B16182"/>
    <w:p w:rsidR="00D932A9" w:rsidRDefault="00D932A9" w:rsidP="00B16182"/>
    <w:p w:rsidR="00D932A9" w:rsidRDefault="00D932A9" w:rsidP="00B16182"/>
    <w:p w:rsidR="00D932A9" w:rsidRDefault="00D932A9" w:rsidP="00B16182"/>
    <w:p w:rsidR="00D932A9" w:rsidRDefault="00D932A9" w:rsidP="00B16182"/>
    <w:p w:rsidR="00D932A9" w:rsidRDefault="00D932A9" w:rsidP="00B16182"/>
    <w:p w:rsidR="00D932A9" w:rsidRDefault="00D932A9" w:rsidP="00B16182"/>
    <w:p w:rsidR="00D932A9" w:rsidRDefault="00D932A9" w:rsidP="00B16182"/>
    <w:p w:rsidR="00D932A9" w:rsidRDefault="00D932A9" w:rsidP="00B16182"/>
    <w:p w:rsidR="00D932A9" w:rsidRDefault="00D932A9" w:rsidP="00B16182"/>
    <w:p w:rsidR="00D932A9" w:rsidRDefault="00D932A9" w:rsidP="00B16182"/>
    <w:p w:rsidR="00D932A9" w:rsidRDefault="00D932A9" w:rsidP="00B16182"/>
    <w:p w:rsidR="00D932A9" w:rsidRDefault="00D932A9" w:rsidP="00B16182"/>
    <w:p w:rsidR="00D932A9" w:rsidRDefault="00D932A9" w:rsidP="00B16182"/>
    <w:p w:rsidR="004C57C9" w:rsidRDefault="004C57C9" w:rsidP="008D41B3"/>
    <w:sectPr w:rsidR="004C57C9" w:rsidSect="00135D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Gill Sans Std ExtraBold">
    <w:altName w:val="Gill Sans Std ExtraBold"/>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62AE5"/>
    <w:multiLevelType w:val="multilevel"/>
    <w:tmpl w:val="C0EA4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677A66"/>
    <w:multiLevelType w:val="hybridMultilevel"/>
    <w:tmpl w:val="ABF68C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E5CAA"/>
    <w:multiLevelType w:val="hybridMultilevel"/>
    <w:tmpl w:val="66A68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26109"/>
    <w:multiLevelType w:val="multilevel"/>
    <w:tmpl w:val="C43E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B049CC"/>
    <w:multiLevelType w:val="multilevel"/>
    <w:tmpl w:val="BB9A8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7C7387"/>
    <w:multiLevelType w:val="hybridMultilevel"/>
    <w:tmpl w:val="D52A51C8"/>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24D2268"/>
    <w:multiLevelType w:val="multilevel"/>
    <w:tmpl w:val="5BF6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592678"/>
    <w:multiLevelType w:val="multilevel"/>
    <w:tmpl w:val="23306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4F73E0"/>
    <w:multiLevelType w:val="multilevel"/>
    <w:tmpl w:val="6B4E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21175D"/>
    <w:multiLevelType w:val="multilevel"/>
    <w:tmpl w:val="2512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AE142D"/>
    <w:multiLevelType w:val="multilevel"/>
    <w:tmpl w:val="040205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955035B"/>
    <w:multiLevelType w:val="multilevel"/>
    <w:tmpl w:val="8A36DAB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F6764E3"/>
    <w:multiLevelType w:val="hybridMultilevel"/>
    <w:tmpl w:val="02A2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CF2EE2"/>
    <w:multiLevelType w:val="hybridMultilevel"/>
    <w:tmpl w:val="56E2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362D80"/>
    <w:multiLevelType w:val="multilevel"/>
    <w:tmpl w:val="656C4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D622A6"/>
    <w:multiLevelType w:val="multilevel"/>
    <w:tmpl w:val="06C28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763C5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AA169C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13B4621"/>
    <w:multiLevelType w:val="multilevel"/>
    <w:tmpl w:val="27A4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644C04"/>
    <w:multiLevelType w:val="hybridMultilevel"/>
    <w:tmpl w:val="3C805286"/>
    <w:lvl w:ilvl="0" w:tplc="C826E41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27A0EC8"/>
    <w:multiLevelType w:val="multilevel"/>
    <w:tmpl w:val="5C86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9"/>
  </w:num>
  <w:num w:numId="6">
    <w:abstractNumId w:val="5"/>
  </w:num>
  <w:num w:numId="7">
    <w:abstractNumId w:val="1"/>
  </w:num>
  <w:num w:numId="8">
    <w:abstractNumId w:val="20"/>
  </w:num>
  <w:num w:numId="9">
    <w:abstractNumId w:val="4"/>
  </w:num>
  <w:num w:numId="10">
    <w:abstractNumId w:val="3"/>
  </w:num>
  <w:num w:numId="11">
    <w:abstractNumId w:val="7"/>
  </w:num>
  <w:num w:numId="12">
    <w:abstractNumId w:val="6"/>
  </w:num>
  <w:num w:numId="13">
    <w:abstractNumId w:val="0"/>
  </w:num>
  <w:num w:numId="14">
    <w:abstractNumId w:val="9"/>
  </w:num>
  <w:num w:numId="15">
    <w:abstractNumId w:val="8"/>
  </w:num>
  <w:num w:numId="16">
    <w:abstractNumId w:val="15"/>
  </w:num>
  <w:num w:numId="17">
    <w:abstractNumId w:val="14"/>
  </w:num>
  <w:num w:numId="18">
    <w:abstractNumId w:val="18"/>
  </w:num>
  <w:num w:numId="19">
    <w:abstractNumId w:val="12"/>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D41B3"/>
    <w:rsid w:val="000111CD"/>
    <w:rsid w:val="00014F5A"/>
    <w:rsid w:val="00060092"/>
    <w:rsid w:val="0007545B"/>
    <w:rsid w:val="00091A22"/>
    <w:rsid w:val="00094D78"/>
    <w:rsid w:val="000A12F9"/>
    <w:rsid w:val="000B0C9E"/>
    <w:rsid w:val="000C021E"/>
    <w:rsid w:val="000C57A1"/>
    <w:rsid w:val="000D1E92"/>
    <w:rsid w:val="000E1234"/>
    <w:rsid w:val="000F28AE"/>
    <w:rsid w:val="000F6D75"/>
    <w:rsid w:val="0010143A"/>
    <w:rsid w:val="0012351C"/>
    <w:rsid w:val="00134476"/>
    <w:rsid w:val="00135CCC"/>
    <w:rsid w:val="00135D5D"/>
    <w:rsid w:val="00146349"/>
    <w:rsid w:val="001611D6"/>
    <w:rsid w:val="001617B7"/>
    <w:rsid w:val="00175376"/>
    <w:rsid w:val="00186BA0"/>
    <w:rsid w:val="00194EF9"/>
    <w:rsid w:val="00196A18"/>
    <w:rsid w:val="001A38FB"/>
    <w:rsid w:val="001B1DD5"/>
    <w:rsid w:val="001C0422"/>
    <w:rsid w:val="001C60A5"/>
    <w:rsid w:val="001D118D"/>
    <w:rsid w:val="001E2292"/>
    <w:rsid w:val="00206C46"/>
    <w:rsid w:val="00237F64"/>
    <w:rsid w:val="00245942"/>
    <w:rsid w:val="00251B4B"/>
    <w:rsid w:val="00261E6F"/>
    <w:rsid w:val="002747E8"/>
    <w:rsid w:val="002754BD"/>
    <w:rsid w:val="00285AB4"/>
    <w:rsid w:val="0028634B"/>
    <w:rsid w:val="002970E1"/>
    <w:rsid w:val="002A0CB5"/>
    <w:rsid w:val="002C1030"/>
    <w:rsid w:val="002E625B"/>
    <w:rsid w:val="003000F7"/>
    <w:rsid w:val="00312D1B"/>
    <w:rsid w:val="0031519F"/>
    <w:rsid w:val="00321EB5"/>
    <w:rsid w:val="003245DB"/>
    <w:rsid w:val="00337814"/>
    <w:rsid w:val="00381680"/>
    <w:rsid w:val="00393A50"/>
    <w:rsid w:val="00393F40"/>
    <w:rsid w:val="003A4271"/>
    <w:rsid w:val="003B21AC"/>
    <w:rsid w:val="003C78C9"/>
    <w:rsid w:val="004035CE"/>
    <w:rsid w:val="004118F1"/>
    <w:rsid w:val="0041640F"/>
    <w:rsid w:val="004242F9"/>
    <w:rsid w:val="00453ED5"/>
    <w:rsid w:val="0046096A"/>
    <w:rsid w:val="00461216"/>
    <w:rsid w:val="00463963"/>
    <w:rsid w:val="004740C4"/>
    <w:rsid w:val="00475B60"/>
    <w:rsid w:val="00482AD6"/>
    <w:rsid w:val="004B3BFD"/>
    <w:rsid w:val="004B48AF"/>
    <w:rsid w:val="004B4EA2"/>
    <w:rsid w:val="004B5789"/>
    <w:rsid w:val="004C57C9"/>
    <w:rsid w:val="004F0DC3"/>
    <w:rsid w:val="004F5F06"/>
    <w:rsid w:val="00505276"/>
    <w:rsid w:val="0052217D"/>
    <w:rsid w:val="00541010"/>
    <w:rsid w:val="00566002"/>
    <w:rsid w:val="00577916"/>
    <w:rsid w:val="00590094"/>
    <w:rsid w:val="005A2F8F"/>
    <w:rsid w:val="005E708E"/>
    <w:rsid w:val="00602A9A"/>
    <w:rsid w:val="00625C90"/>
    <w:rsid w:val="00632C1E"/>
    <w:rsid w:val="00634359"/>
    <w:rsid w:val="0064125D"/>
    <w:rsid w:val="00660675"/>
    <w:rsid w:val="00670777"/>
    <w:rsid w:val="00683247"/>
    <w:rsid w:val="006C2378"/>
    <w:rsid w:val="006E39E2"/>
    <w:rsid w:val="007034E4"/>
    <w:rsid w:val="00705E00"/>
    <w:rsid w:val="007221B5"/>
    <w:rsid w:val="0077105A"/>
    <w:rsid w:val="00772E8F"/>
    <w:rsid w:val="00785DA0"/>
    <w:rsid w:val="007964F7"/>
    <w:rsid w:val="007C3E98"/>
    <w:rsid w:val="00821614"/>
    <w:rsid w:val="00827CAE"/>
    <w:rsid w:val="00837E19"/>
    <w:rsid w:val="00850CB2"/>
    <w:rsid w:val="00857420"/>
    <w:rsid w:val="00876788"/>
    <w:rsid w:val="008C0D30"/>
    <w:rsid w:val="008C2277"/>
    <w:rsid w:val="008C4D8F"/>
    <w:rsid w:val="008D41B3"/>
    <w:rsid w:val="008D6A8F"/>
    <w:rsid w:val="008E17E8"/>
    <w:rsid w:val="008F6CE5"/>
    <w:rsid w:val="00904E9E"/>
    <w:rsid w:val="00907C2D"/>
    <w:rsid w:val="009137C9"/>
    <w:rsid w:val="00920B78"/>
    <w:rsid w:val="00933D8C"/>
    <w:rsid w:val="00935E2B"/>
    <w:rsid w:val="00961687"/>
    <w:rsid w:val="00986751"/>
    <w:rsid w:val="00991DD2"/>
    <w:rsid w:val="00991F60"/>
    <w:rsid w:val="00992365"/>
    <w:rsid w:val="009A12CA"/>
    <w:rsid w:val="009B2CCE"/>
    <w:rsid w:val="009B49F6"/>
    <w:rsid w:val="009C5981"/>
    <w:rsid w:val="009E3400"/>
    <w:rsid w:val="00A052FC"/>
    <w:rsid w:val="00A14EB7"/>
    <w:rsid w:val="00A421A9"/>
    <w:rsid w:val="00A526CE"/>
    <w:rsid w:val="00A52EF5"/>
    <w:rsid w:val="00A633F5"/>
    <w:rsid w:val="00A749E0"/>
    <w:rsid w:val="00A91093"/>
    <w:rsid w:val="00A965A6"/>
    <w:rsid w:val="00A97F39"/>
    <w:rsid w:val="00AA3627"/>
    <w:rsid w:val="00AD0A17"/>
    <w:rsid w:val="00B05487"/>
    <w:rsid w:val="00B1125E"/>
    <w:rsid w:val="00B16182"/>
    <w:rsid w:val="00B226A2"/>
    <w:rsid w:val="00B30C16"/>
    <w:rsid w:val="00B40A13"/>
    <w:rsid w:val="00B523EE"/>
    <w:rsid w:val="00B602BC"/>
    <w:rsid w:val="00B63A13"/>
    <w:rsid w:val="00B658ED"/>
    <w:rsid w:val="00B71E2F"/>
    <w:rsid w:val="00B76756"/>
    <w:rsid w:val="00BB6213"/>
    <w:rsid w:val="00BB764A"/>
    <w:rsid w:val="00BB7F4A"/>
    <w:rsid w:val="00BD6AE1"/>
    <w:rsid w:val="00BD6CB2"/>
    <w:rsid w:val="00BF5F98"/>
    <w:rsid w:val="00BF7B2F"/>
    <w:rsid w:val="00C159CF"/>
    <w:rsid w:val="00C15D88"/>
    <w:rsid w:val="00C2380D"/>
    <w:rsid w:val="00C37068"/>
    <w:rsid w:val="00C37ECD"/>
    <w:rsid w:val="00C410D7"/>
    <w:rsid w:val="00C84033"/>
    <w:rsid w:val="00CB21C8"/>
    <w:rsid w:val="00CC59A9"/>
    <w:rsid w:val="00CC5FEC"/>
    <w:rsid w:val="00CD3985"/>
    <w:rsid w:val="00CD3EE5"/>
    <w:rsid w:val="00CE2A42"/>
    <w:rsid w:val="00CE6B6D"/>
    <w:rsid w:val="00CE7B20"/>
    <w:rsid w:val="00D10024"/>
    <w:rsid w:val="00D36FA5"/>
    <w:rsid w:val="00D37B76"/>
    <w:rsid w:val="00D73525"/>
    <w:rsid w:val="00D84A0F"/>
    <w:rsid w:val="00D86DDD"/>
    <w:rsid w:val="00D932A9"/>
    <w:rsid w:val="00D962E6"/>
    <w:rsid w:val="00DB10D3"/>
    <w:rsid w:val="00DB52D9"/>
    <w:rsid w:val="00DC0359"/>
    <w:rsid w:val="00DC581B"/>
    <w:rsid w:val="00DC5A61"/>
    <w:rsid w:val="00DC7367"/>
    <w:rsid w:val="00DF111E"/>
    <w:rsid w:val="00DF47DD"/>
    <w:rsid w:val="00E01D25"/>
    <w:rsid w:val="00E24087"/>
    <w:rsid w:val="00E37238"/>
    <w:rsid w:val="00E555FA"/>
    <w:rsid w:val="00E5601D"/>
    <w:rsid w:val="00E63B20"/>
    <w:rsid w:val="00E63EE8"/>
    <w:rsid w:val="00E73295"/>
    <w:rsid w:val="00E81337"/>
    <w:rsid w:val="00E85830"/>
    <w:rsid w:val="00EA03B0"/>
    <w:rsid w:val="00EB5579"/>
    <w:rsid w:val="00ED2944"/>
    <w:rsid w:val="00F00CC9"/>
    <w:rsid w:val="00F013A5"/>
    <w:rsid w:val="00F0222B"/>
    <w:rsid w:val="00F05AFD"/>
    <w:rsid w:val="00F27CA2"/>
    <w:rsid w:val="00F32E54"/>
    <w:rsid w:val="00F44025"/>
    <w:rsid w:val="00F80192"/>
    <w:rsid w:val="00F806BC"/>
    <w:rsid w:val="00F910DA"/>
    <w:rsid w:val="00F91B65"/>
    <w:rsid w:val="00FA3C52"/>
    <w:rsid w:val="00FC1783"/>
    <w:rsid w:val="00FC4AA5"/>
    <w:rsid w:val="00FD45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E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04E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04E9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F05AF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41B3"/>
    <w:pPr>
      <w:autoSpaceDE w:val="0"/>
      <w:autoSpaceDN w:val="0"/>
      <w:adjustRightInd w:val="0"/>
      <w:spacing w:after="0" w:line="240" w:lineRule="auto"/>
    </w:pPr>
    <w:rPr>
      <w:rFonts w:ascii="Gill Sans Std ExtraBold" w:hAnsi="Gill Sans Std ExtraBold" w:cs="Gill Sans Std ExtraBold"/>
      <w:color w:val="000000"/>
      <w:sz w:val="24"/>
      <w:szCs w:val="24"/>
    </w:rPr>
  </w:style>
  <w:style w:type="paragraph" w:customStyle="1" w:styleId="Pa13">
    <w:name w:val="Pa13"/>
    <w:basedOn w:val="Default"/>
    <w:next w:val="Default"/>
    <w:uiPriority w:val="99"/>
    <w:rsid w:val="008D41B3"/>
    <w:pPr>
      <w:spacing w:line="701" w:lineRule="atLeast"/>
    </w:pPr>
    <w:rPr>
      <w:rFonts w:cstheme="minorBidi"/>
      <w:color w:val="auto"/>
    </w:rPr>
  </w:style>
  <w:style w:type="paragraph" w:customStyle="1" w:styleId="Pa16">
    <w:name w:val="Pa16"/>
    <w:basedOn w:val="Default"/>
    <w:next w:val="Default"/>
    <w:uiPriority w:val="99"/>
    <w:rsid w:val="008D41B3"/>
    <w:pPr>
      <w:spacing w:line="211" w:lineRule="atLeast"/>
    </w:pPr>
    <w:rPr>
      <w:rFonts w:cstheme="minorBidi"/>
      <w:color w:val="auto"/>
    </w:rPr>
  </w:style>
  <w:style w:type="paragraph" w:customStyle="1" w:styleId="Pa14">
    <w:name w:val="Pa14"/>
    <w:basedOn w:val="Default"/>
    <w:next w:val="Default"/>
    <w:uiPriority w:val="99"/>
    <w:rsid w:val="008D41B3"/>
    <w:pPr>
      <w:spacing w:line="211" w:lineRule="atLeast"/>
    </w:pPr>
    <w:rPr>
      <w:rFonts w:cstheme="minorBidi"/>
      <w:color w:val="auto"/>
    </w:rPr>
  </w:style>
  <w:style w:type="paragraph" w:customStyle="1" w:styleId="Pa22">
    <w:name w:val="Pa22"/>
    <w:basedOn w:val="Default"/>
    <w:next w:val="Default"/>
    <w:uiPriority w:val="99"/>
    <w:rsid w:val="008D41B3"/>
    <w:pPr>
      <w:spacing w:line="211" w:lineRule="atLeast"/>
    </w:pPr>
    <w:rPr>
      <w:rFonts w:cstheme="minorBidi"/>
      <w:color w:val="auto"/>
    </w:rPr>
  </w:style>
  <w:style w:type="paragraph" w:customStyle="1" w:styleId="Pa23">
    <w:name w:val="Pa23"/>
    <w:basedOn w:val="Default"/>
    <w:next w:val="Default"/>
    <w:uiPriority w:val="99"/>
    <w:rsid w:val="008D41B3"/>
    <w:pPr>
      <w:spacing w:line="211" w:lineRule="atLeast"/>
    </w:pPr>
    <w:rPr>
      <w:rFonts w:cstheme="minorBidi"/>
      <w:color w:val="auto"/>
    </w:rPr>
  </w:style>
  <w:style w:type="paragraph" w:customStyle="1" w:styleId="Pa24">
    <w:name w:val="Pa24"/>
    <w:basedOn w:val="Default"/>
    <w:next w:val="Default"/>
    <w:uiPriority w:val="99"/>
    <w:rsid w:val="008D41B3"/>
    <w:pPr>
      <w:spacing w:line="211" w:lineRule="atLeast"/>
    </w:pPr>
    <w:rPr>
      <w:rFonts w:cstheme="minorBidi"/>
      <w:color w:val="auto"/>
    </w:rPr>
  </w:style>
  <w:style w:type="paragraph" w:customStyle="1" w:styleId="Pa25">
    <w:name w:val="Pa25"/>
    <w:basedOn w:val="Default"/>
    <w:next w:val="Default"/>
    <w:uiPriority w:val="99"/>
    <w:rsid w:val="008D41B3"/>
    <w:pPr>
      <w:spacing w:line="211" w:lineRule="atLeast"/>
    </w:pPr>
    <w:rPr>
      <w:rFonts w:cstheme="minorBidi"/>
      <w:color w:val="auto"/>
    </w:rPr>
  </w:style>
  <w:style w:type="paragraph" w:customStyle="1" w:styleId="Pa26">
    <w:name w:val="Pa26"/>
    <w:basedOn w:val="Default"/>
    <w:next w:val="Default"/>
    <w:uiPriority w:val="99"/>
    <w:rsid w:val="008D41B3"/>
    <w:pPr>
      <w:spacing w:line="211" w:lineRule="atLeast"/>
    </w:pPr>
    <w:rPr>
      <w:rFonts w:cstheme="minorBidi"/>
      <w:color w:val="auto"/>
    </w:rPr>
  </w:style>
  <w:style w:type="paragraph" w:customStyle="1" w:styleId="Pa27">
    <w:name w:val="Pa27"/>
    <w:basedOn w:val="Default"/>
    <w:next w:val="Default"/>
    <w:uiPriority w:val="99"/>
    <w:rsid w:val="008D41B3"/>
    <w:pPr>
      <w:spacing w:line="211" w:lineRule="atLeast"/>
    </w:pPr>
    <w:rPr>
      <w:rFonts w:cstheme="minorBidi"/>
      <w:color w:val="auto"/>
    </w:rPr>
  </w:style>
  <w:style w:type="paragraph" w:customStyle="1" w:styleId="Pa28">
    <w:name w:val="Pa28"/>
    <w:basedOn w:val="Default"/>
    <w:next w:val="Default"/>
    <w:uiPriority w:val="99"/>
    <w:rsid w:val="008D41B3"/>
    <w:pPr>
      <w:spacing w:line="211" w:lineRule="atLeast"/>
    </w:pPr>
    <w:rPr>
      <w:rFonts w:cstheme="minorBidi"/>
      <w:color w:val="auto"/>
    </w:rPr>
  </w:style>
  <w:style w:type="paragraph" w:customStyle="1" w:styleId="Pa30">
    <w:name w:val="Pa30"/>
    <w:basedOn w:val="Default"/>
    <w:next w:val="Default"/>
    <w:uiPriority w:val="99"/>
    <w:rsid w:val="008D41B3"/>
    <w:pPr>
      <w:spacing w:line="211" w:lineRule="atLeast"/>
    </w:pPr>
    <w:rPr>
      <w:rFonts w:cstheme="minorBidi"/>
      <w:color w:val="auto"/>
    </w:rPr>
  </w:style>
  <w:style w:type="character" w:styleId="Hyperlink">
    <w:name w:val="Hyperlink"/>
    <w:basedOn w:val="DefaultParagraphFont"/>
    <w:uiPriority w:val="99"/>
    <w:rsid w:val="007C3E98"/>
    <w:rPr>
      <w:color w:val="0000FF"/>
      <w:u w:val="single"/>
    </w:rPr>
  </w:style>
  <w:style w:type="character" w:customStyle="1" w:styleId="Heading3Char">
    <w:name w:val="Heading 3 Char"/>
    <w:basedOn w:val="DefaultParagraphFont"/>
    <w:link w:val="Heading3"/>
    <w:rsid w:val="00F05AFD"/>
    <w:rPr>
      <w:rFonts w:ascii="Arial" w:eastAsia="Times New Roman" w:hAnsi="Arial" w:cs="Arial"/>
      <w:b/>
      <w:bCs/>
      <w:sz w:val="26"/>
      <w:szCs w:val="26"/>
    </w:rPr>
  </w:style>
  <w:style w:type="paragraph" w:customStyle="1" w:styleId="Level1">
    <w:name w:val="Level 1"/>
    <w:basedOn w:val="Normal"/>
    <w:rsid w:val="00F05AFD"/>
    <w:pPr>
      <w:widowControl w:val="0"/>
      <w:tabs>
        <w:tab w:val="num" w:pos="360"/>
      </w:tabs>
      <w:autoSpaceDE w:val="0"/>
      <w:autoSpaceDN w:val="0"/>
      <w:adjustRightInd w:val="0"/>
      <w:outlineLvl w:val="0"/>
    </w:pPr>
    <w:rPr>
      <w:rFonts w:ascii="Courier" w:hAnsi="Courier"/>
    </w:rPr>
  </w:style>
  <w:style w:type="character" w:styleId="Emphasis">
    <w:name w:val="Emphasis"/>
    <w:basedOn w:val="DefaultParagraphFont"/>
    <w:uiPriority w:val="20"/>
    <w:qFormat/>
    <w:rsid w:val="00F05AFD"/>
    <w:rPr>
      <w:i/>
      <w:iCs/>
    </w:rPr>
  </w:style>
  <w:style w:type="character" w:customStyle="1" w:styleId="f">
    <w:name w:val="f"/>
    <w:basedOn w:val="DefaultParagraphFont"/>
    <w:rsid w:val="00F05AFD"/>
  </w:style>
  <w:style w:type="paragraph" w:customStyle="1" w:styleId="ref">
    <w:name w:val="ref"/>
    <w:basedOn w:val="Normal"/>
    <w:qFormat/>
    <w:rsid w:val="00683247"/>
    <w:pPr>
      <w:spacing w:line="480" w:lineRule="auto"/>
      <w:ind w:left="720" w:hanging="720"/>
    </w:pPr>
    <w:rPr>
      <w:rFonts w:eastAsia="Calibri"/>
      <w:szCs w:val="22"/>
    </w:rPr>
  </w:style>
  <w:style w:type="character" w:customStyle="1" w:styleId="apple-converted-space">
    <w:name w:val="apple-converted-space"/>
    <w:basedOn w:val="DefaultParagraphFont"/>
    <w:rsid w:val="009C5981"/>
  </w:style>
  <w:style w:type="paragraph" w:customStyle="1" w:styleId="Pa54">
    <w:name w:val="Pa5+4"/>
    <w:basedOn w:val="Default"/>
    <w:next w:val="Default"/>
    <w:uiPriority w:val="99"/>
    <w:rsid w:val="00632C1E"/>
    <w:pPr>
      <w:spacing w:line="211" w:lineRule="atLeast"/>
    </w:pPr>
    <w:rPr>
      <w:rFonts w:ascii="Minion Pro" w:hAnsi="Minion Pro" w:cstheme="minorBidi"/>
      <w:color w:val="auto"/>
    </w:rPr>
  </w:style>
  <w:style w:type="paragraph" w:customStyle="1" w:styleId="Pa68">
    <w:name w:val="Pa6+8"/>
    <w:basedOn w:val="Default"/>
    <w:next w:val="Default"/>
    <w:uiPriority w:val="99"/>
    <w:rsid w:val="00632C1E"/>
    <w:pPr>
      <w:spacing w:line="211" w:lineRule="atLeast"/>
    </w:pPr>
    <w:rPr>
      <w:rFonts w:ascii="Minion Pro" w:hAnsi="Minion Pro" w:cstheme="minorBidi"/>
      <w:color w:val="auto"/>
    </w:rPr>
  </w:style>
  <w:style w:type="paragraph" w:styleId="Date">
    <w:name w:val="Date"/>
    <w:basedOn w:val="Normal"/>
    <w:link w:val="DateChar"/>
    <w:rsid w:val="004B5789"/>
    <w:pPr>
      <w:spacing w:before="720"/>
    </w:pPr>
    <w:rPr>
      <w:sz w:val="20"/>
      <w:szCs w:val="20"/>
    </w:rPr>
  </w:style>
  <w:style w:type="character" w:customStyle="1" w:styleId="DateChar">
    <w:name w:val="Date Char"/>
    <w:basedOn w:val="DefaultParagraphFont"/>
    <w:link w:val="Date"/>
    <w:rsid w:val="004B5789"/>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904E9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904E9E"/>
    <w:rPr>
      <w:rFonts w:asciiTheme="majorHAnsi" w:eastAsiaTheme="majorEastAsia" w:hAnsiTheme="majorHAnsi" w:cstheme="majorBidi"/>
      <w:b/>
      <w:bCs/>
      <w:color w:val="5B9BD5" w:themeColor="accent1"/>
      <w:sz w:val="26"/>
      <w:szCs w:val="26"/>
    </w:rPr>
  </w:style>
  <w:style w:type="paragraph" w:styleId="TOCHeading">
    <w:name w:val="TOC Heading"/>
    <w:basedOn w:val="Heading1"/>
    <w:next w:val="Normal"/>
    <w:uiPriority w:val="39"/>
    <w:semiHidden/>
    <w:unhideWhenUsed/>
    <w:qFormat/>
    <w:rsid w:val="00904E9E"/>
    <w:pPr>
      <w:spacing w:line="276" w:lineRule="auto"/>
      <w:outlineLvl w:val="9"/>
    </w:pPr>
    <w:rPr>
      <w:lang w:eastAsia="ja-JP"/>
    </w:rPr>
  </w:style>
  <w:style w:type="paragraph" w:styleId="TOC1">
    <w:name w:val="toc 1"/>
    <w:basedOn w:val="Normal"/>
    <w:next w:val="Normal"/>
    <w:autoRedefine/>
    <w:uiPriority w:val="39"/>
    <w:unhideWhenUsed/>
    <w:qFormat/>
    <w:rsid w:val="00904E9E"/>
    <w:pPr>
      <w:spacing w:after="100"/>
    </w:pPr>
  </w:style>
  <w:style w:type="paragraph" w:styleId="TOC2">
    <w:name w:val="toc 2"/>
    <w:basedOn w:val="Normal"/>
    <w:next w:val="Normal"/>
    <w:autoRedefine/>
    <w:uiPriority w:val="39"/>
    <w:unhideWhenUsed/>
    <w:qFormat/>
    <w:rsid w:val="00904E9E"/>
    <w:pPr>
      <w:spacing w:after="100"/>
      <w:ind w:left="240"/>
    </w:pPr>
  </w:style>
  <w:style w:type="paragraph" w:styleId="TOC3">
    <w:name w:val="toc 3"/>
    <w:basedOn w:val="Normal"/>
    <w:next w:val="Normal"/>
    <w:autoRedefine/>
    <w:uiPriority w:val="39"/>
    <w:unhideWhenUsed/>
    <w:qFormat/>
    <w:rsid w:val="00904E9E"/>
    <w:pPr>
      <w:spacing w:after="100"/>
      <w:ind w:left="480"/>
    </w:pPr>
  </w:style>
  <w:style w:type="paragraph" w:styleId="BalloonText">
    <w:name w:val="Balloon Text"/>
    <w:basedOn w:val="Normal"/>
    <w:link w:val="BalloonTextChar"/>
    <w:uiPriority w:val="99"/>
    <w:semiHidden/>
    <w:unhideWhenUsed/>
    <w:rsid w:val="00904E9E"/>
    <w:rPr>
      <w:rFonts w:ascii="Tahoma" w:hAnsi="Tahoma" w:cs="Tahoma"/>
      <w:sz w:val="16"/>
      <w:szCs w:val="16"/>
    </w:rPr>
  </w:style>
  <w:style w:type="character" w:customStyle="1" w:styleId="BalloonTextChar">
    <w:name w:val="Balloon Text Char"/>
    <w:basedOn w:val="DefaultParagraphFont"/>
    <w:link w:val="BalloonText"/>
    <w:uiPriority w:val="99"/>
    <w:semiHidden/>
    <w:rsid w:val="00904E9E"/>
    <w:rPr>
      <w:rFonts w:ascii="Tahoma" w:eastAsia="Times New Roman" w:hAnsi="Tahoma" w:cs="Tahoma"/>
      <w:sz w:val="16"/>
      <w:szCs w:val="16"/>
    </w:rPr>
  </w:style>
  <w:style w:type="paragraph" w:styleId="Title">
    <w:name w:val="Title"/>
    <w:basedOn w:val="Normal"/>
    <w:next w:val="Normal"/>
    <w:link w:val="TitleChar"/>
    <w:uiPriority w:val="10"/>
    <w:qFormat/>
    <w:rsid w:val="00904E9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04E9E"/>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904E9E"/>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uiPriority w:val="11"/>
    <w:rsid w:val="00904E9E"/>
    <w:rPr>
      <w:rFonts w:asciiTheme="majorHAnsi" w:eastAsiaTheme="majorEastAsia" w:hAnsiTheme="majorHAnsi" w:cstheme="majorBidi"/>
      <w:i/>
      <w:iCs/>
      <w:color w:val="5B9BD5" w:themeColor="accent1"/>
      <w:spacing w:val="15"/>
      <w:sz w:val="24"/>
      <w:szCs w:val="24"/>
    </w:rPr>
  </w:style>
  <w:style w:type="character" w:styleId="FollowedHyperlink">
    <w:name w:val="FollowedHyperlink"/>
    <w:basedOn w:val="DefaultParagraphFont"/>
    <w:uiPriority w:val="99"/>
    <w:semiHidden/>
    <w:unhideWhenUsed/>
    <w:rsid w:val="00904E9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2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026E6-6029-491C-BB64-A86D3FA6B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1451</TotalTime>
  <Pages>3</Pages>
  <Words>781</Words>
  <Characters>4453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vanwormer</dc:creator>
  <cp:lastModifiedBy>Berbeo, Lucy</cp:lastModifiedBy>
  <cp:revision>33</cp:revision>
  <dcterms:created xsi:type="dcterms:W3CDTF">2015-03-26T03:43:00Z</dcterms:created>
  <dcterms:modified xsi:type="dcterms:W3CDTF">2015-04-10T16:39:00Z</dcterms:modified>
</cp:coreProperties>
</file>